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克州党校</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校主要职能为培训轮训本州州直各单位、部门和各县市的副县处级党员领导干部和正乡科级党员领导干部及州、县（市）、乡（镇）的各级党员领导干部及后备干部和培养理论干部；承办州党委和政府及相关部门安排的各类专题研讨班；围绕本州经济社会发展中出现的新情况新问题开展科学研究，承担州委和政府下达的调研任务，提供决策咨询服务；开展同国内、区内外教育、研究等机构和组织的合作与交流，承办国内高校、自治区党校等培训部门委托举办的各类培训；完成州党委交办的其他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校无下属预算单位，下设12个科室，分别是：办公室、人事科、后勤服务科、教务科、学员科、信息科、科研资料室、政治学教研室、党史党建教研室、民族理论教研室、双语教育教研室、社会经济研究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克州党校编制数58，实有人数95人，其中：在职52人，退休43人。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将党校（行政学院）工作纳入党委党的建设工作年度目标考核，把党校（行政学院）工作纳入各级党委总体工作部署，每年专题研究党校（行政学院）工作，加强党校（行政学院）基础设施建设、师资培养、经费保障、现场教学基地建设等，支持党校（行政学院）实施综合性的教学科研、决策咨询、管理服务创新。</w:t>
      </w:r>
      <w:r>
        <w:rPr>
          <w:rFonts w:hint="eastAsia" w:ascii="仿宋_GB2312" w:hAnsi="宋体" w:eastAsia="仿宋_GB2312"/>
          <w:b w:val="0"/>
          <w:bCs/>
          <w:sz w:val="32"/>
          <w:szCs w:val="32"/>
        </w:rPr>
        <w:cr/>
      </w:r>
      <w:r>
        <w:rPr>
          <w:rFonts w:hint="eastAsia" w:ascii="仿宋_GB2312" w:hAnsi="宋体" w:eastAsia="仿宋_GB2312"/>
          <w:b w:val="0"/>
          <w:bCs/>
          <w:sz w:val="32"/>
          <w:szCs w:val="32"/>
        </w:rPr>
        <w:t>　　要坚持把从严治党和从严治校结合起来，严以治校、严以治教、严以治学。要强化熔炉意识，紧紧围绕党中央、自治区、自治州重大决策部署，开展干部教育培训工作，使党校（行政学院）思想教育红色大熔炉的作用得到充分发挥。</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加强校风建设，加强财务管理，严格加强预算控制，不断健全各项管理制度，严格控制费用支出，严格管理固定资产，查找存在的薄弱环节，加强对内控岗位的合理设置。</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党校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（2）收支管理：领导层是本单位收支业务管理的决策部门，负责审批单位收支业务等事项。涉及“三重一大”事项，根据《克州党校集体决策制度》和《克州党校项目管理办法》办理。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党校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党校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1,257.33万元，项目支出安排资金154.84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本单位2021年度项目支出152.52万元，涉及项目数量9个，其中：重点项目支出37.98万元，涉及重点项目数量1个，重点项目支出与部门项目总支出的比率为24.90%。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2021年度本单位年初批复部门预算资金总额为917.86万元，年中调增预算总额为494.30万元，调整后全年预算资金总额为1,412.17万元。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2021年度本单位部门整体支出资金总额为1,409.85万元，预算执行率为99.84%，预算调整率为53.85%。</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年初政府采购预算数为415.23万元，实际政府采购数为489.03万元，政府采购执行率为117.77%。</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为加强我单位预算管理、规范财务行为我单位制定了《克州党校内部控制规范》《克州党校项目管理规范》等资金管理制度，已建立制度均健全且有效运行。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2021年度我单位基本支出预算总额为1,257.33万元，其中人员经费1,144.61万元，公用经费112.72万元。实际执行总额为1,257.33万元，预算执行率100%。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1.93万元，比上年减少0.03万元，减少1.55%，主要原因是：按照厉行节约的要求，缩减公务用车运行维护费。其中，因公出国（境）费支出0万元；公务用车购置及运行维护费支出1.93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与年初预算数相比情况：一般公共预算“三公”经费支出年初预算数3.90万元，预算执行数为1.93万元，执行率为49.49%，主要原因是：按照厉行节约的要求，2021年公务用车运行维护费，因此支出随之减少。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2021年度本单位项目支出预算总额为154.84万元，实际执行资金总额为152.52万元，预算执行率为98.50%。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2021年度预算安排专项资金29.94万元，实际支出资金27.62万元，预算执行率为92.25%，涉及项目个数3个，专项经费按照政策要求实行专款专用，不存在截留、挤占、挪用、虚列支出。各项目详细执行情况如下：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就业补助项目：全年预算数为9.94万元，预算执行数为7.62万元，预算执行率为76.66%</w:t>
      </w:r>
      <w:r>
        <w:rPr>
          <w:rFonts w:hint="eastAsia" w:ascii="仿宋_GB2312" w:hAnsi="宋体" w:eastAsia="仿宋_GB2312"/>
          <w:b w:val="0"/>
          <w:bCs/>
          <w:sz w:val="32"/>
          <w:szCs w:val="32"/>
        </w:rPr>
        <w:tab/>
      </w:r>
      <w:r>
        <w:rPr>
          <w:rFonts w:hint="eastAsia" w:ascii="仿宋_GB2312" w:hAnsi="宋体" w:eastAsia="仿宋_GB2312"/>
          <w:b w:val="0"/>
          <w:bCs/>
          <w:sz w:val="32"/>
          <w:szCs w:val="32"/>
        </w:rPr>
        <w:t>。（1）偏差原因：由于到第二季度有见习生离职，故未发放完毕第二季度补助。改进措施：将结余资金上缴财政。（2）偏差原因：由于到第三季度有见习生离职，故未发放完毕第三季度补助。改进措施：将结余资金上缴财政。（3）偏差原因：由于到第四季度见习生全部离职，故未发放第四季度补助。改进措施：将结余资金上缴财政。</w:t>
      </w:r>
      <w:r>
        <w:rPr>
          <w:rFonts w:hint="eastAsia" w:ascii="仿宋_GB2312" w:hAnsi="宋体" w:eastAsia="仿宋_GB2312"/>
          <w:b w:val="0"/>
          <w:bCs/>
          <w:sz w:val="32"/>
          <w:szCs w:val="32"/>
        </w:rPr>
        <w:cr/>
      </w:r>
      <w:r>
        <w:rPr>
          <w:rFonts w:hint="eastAsia" w:ascii="仿宋_GB2312" w:hAnsi="宋体" w:eastAsia="仿宋_GB2312"/>
          <w:b w:val="0"/>
          <w:bCs/>
          <w:sz w:val="32"/>
          <w:szCs w:val="32"/>
        </w:rPr>
        <w:t>　　节能减排专项资金项目：全年预算数为3万元，预算执行数为3万元，预算执行率为100%。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2021年度预算安排本级财力资金124.90万元，实际支出资金124.90万元，预算执行率为100%，涉及项目个数6个，各项目详细执行情况如下：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网络服务费项目：全年预算数为22.8万元，预算执行数为22.8万元，预算执行率为100%。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保安工资项目：全年预算数为4.8万元，预算执行数为4.8万元，预算执行率为100%。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食堂聘用大师傅工资项目：全年预算数为14.4万元，预算执行数为14.4万元，预算执行率为100%。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内招生初任培训经费项目：全年预算数为37.92万元，预算执行数为37.92万元，预算执行率为100%。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接入综治视联网相关经费项目：全年预算数为37.98万元，预算执行数为37.98万元，预算执行率为100%。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92.25%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《关于拨付2021年中央财政就业补助资金的通知》克财社（2021）27号。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29.94万元，资金全部到位，实际使用资金27.62万元，专项资金执行率为92.25%。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①制订《克州党校经费使用规范》，为合理合规使用经费提供了有力的制度保障。同时，建立区委组织部项目经费内部管控制度，并严格按要求落实。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成本节约：我单位3个项目成本均未超预算，预算执行率达92.25%。</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主要用于我单位1个驻村工作队开展为民办实事专项工作，通过该项目实施为群众带去温暖，宣传国家相关政策及法律法规，维护社会稳定和长治久安，从而提高群众幸福度和归属感。</w:t>
      </w:r>
      <w:r>
        <w:rPr>
          <w:rFonts w:hint="eastAsia" w:ascii="仿宋_GB2312" w:hAnsi="宋体" w:eastAsia="仿宋_GB2312"/>
          <w:b w:val="0"/>
          <w:bCs/>
          <w:sz w:val="32"/>
          <w:szCs w:val="32"/>
        </w:rPr>
        <w:cr/>
      </w:r>
      <w:r>
        <w:rPr>
          <w:rFonts w:hint="eastAsia" w:ascii="仿宋_GB2312" w:hAnsi="宋体" w:eastAsia="仿宋_GB2312"/>
          <w:b w:val="0"/>
          <w:bCs/>
          <w:sz w:val="32"/>
          <w:szCs w:val="32"/>
        </w:rPr>
        <w:t>　　就业补助项目：主要用于见习生就业补助，通过该项目实施能够有效地解决失业人员、毕业生找工作提供临时岗位，解决我单位培训工作需要。</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节能减排专项资金项目：主要用于跟移动公司签订节能水电表安装，通过该项目的实施，减轻抄表人员的劳动强度，有利于电力企业电费的回收。</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本单位2021年初资产合计数为10,311.33万元，年末资产合计数为10,300.31万元。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截止本年度固定资产账面净值4,848.97万元，年末实际在用固定资产4,848.97万元，固定资产利用率为100%。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部门单位整体支出共设置一级指标3个，二级指标7个，三级指标13个，其中已完成三级指标13个，指标完成率为100%。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保障人员人数指标，预期指标是等于95人，实际完成值是95人，指标完成率是100%，达到预期目标。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培训班期数指标，预期指标是等于30期，实际完成值是30期，指标完成率是100%，达到预期目标。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培训学员人数指标，预期指标是大于等于2000人，实际完成值是2000人，指标完成率是100%，达到预期目标。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数量指标共计3个，完成3个，达到预期目标，数量指标成。</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培训合格率指标，预期指标是等于100%，实际完成值是100%，指标完成率是100%，达到预期目标。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质量指标共计2个，完成2个，达到预期目标，数量指标完成。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项目按时开展及时率指标，预期指标是等于100%，实际完成值是100%，指标完成率是100%，达到预期目标。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时效指标共计1个，完成1个，达到预期目标，数量指标完成。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人员经费指标，预期指标是等于769.85万元，实际完成值是769.85万元，指标完成率是100%，达到预期目标。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公用经费指标，预期指标是等于375.61万元，实际完成值是375.61万元，指标完成率是100%，达到预期目标。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项目经费指标，预期指标是等于66万元，实际完成值是66万元，指标完成率是100%，达到预期目标。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成本指标共计3个，完成3个，达到成本控制及改善目标。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提升党员干部队伍的能力素质、理论素养和政治觉悟指标，预期指标是有效提升，实际完成值是有效提升，指标完成率是100%，达到预期目标。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促进社会稳定指标，预期指标是长期，实际完成值是长期，指标完成率是100%，达到预期目标。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受训学员满意度指标，预期指标是大于等于95%，实际完成值是95%，指标完成率是100%，达到预期目标。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0E395FFB"/>
    <w:rsid w:val="108622B3"/>
    <w:rsid w:val="1438599A"/>
    <w:rsid w:val="1B457A80"/>
    <w:rsid w:val="200F4073"/>
    <w:rsid w:val="24B86128"/>
    <w:rsid w:val="38606B10"/>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2022-05-23T14:09:26Z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